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 N 11</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УТВЕРЖДЕНА</w:t>
      </w: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Министерства просвещения</w:t>
      </w: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8 ноября 2021 г. N 808</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ПРИМЕРНАЯ ПРОГРАММА ПРОФЕССИОНАЛЬНОЙ ПОДГОТОВКИ ВОДИТЕЛЕЙ ТРАНСПОРТНЫХ СРЕДСТВ ПОДКАТЕГОРИИ "A1"</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Пояснительная записка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Примерная программа профессиональной подготовки водителей транспортных средств подкатегории "A1" (далее - Примерная программа) разработана в соответствии с требованиями Федерального закона </w:t>
      </w:r>
      <w:hyperlink r:id="rId4" w:history="1">
        <w:r>
          <w:rPr>
            <w:rFonts w:ascii="Times New Roman" w:hAnsi="Times New Roman" w:cs="Times New Roman"/>
            <w:sz w:val="24"/>
            <w:szCs w:val="24"/>
            <w:u w:val="single"/>
          </w:rPr>
          <w:t>от 10 декабря 1995 г. N 196-ФЗ</w:t>
        </w:r>
      </w:hyperlink>
      <w:r>
        <w:rPr>
          <w:rFonts w:ascii="Times New Roman" w:hAnsi="Times New Roman" w:cs="Times New Roman"/>
          <w:sz w:val="24"/>
          <w:szCs w:val="24"/>
        </w:rPr>
        <w:t xml:space="preserve"> "О безопасности дорожного движения" (Собрание законодательства Российской Федерации, 1995, N 50, ст. 4873; </w:t>
      </w:r>
      <w:proofErr w:type="gramStart"/>
      <w:r>
        <w:rPr>
          <w:rFonts w:ascii="Times New Roman" w:hAnsi="Times New Roman" w:cs="Times New Roman"/>
          <w:sz w:val="24"/>
          <w:szCs w:val="24"/>
        </w:rPr>
        <w:t xml:space="preserve">2021, N 49, ст. 8153) (далее - Федеральный закон N 196-ФЗ), </w:t>
      </w:r>
      <w:hyperlink r:id="rId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части 3 статьи 12 Федерального закона от 29 декабря 2012 г. N 273-ФЗ "Об образовании в Российской Федерации" (Собрание законодательства Российской Федерации, 2012, N 53, ст. 7598) (далее - Федеральный закон об образовании), </w:t>
      </w:r>
      <w:hyperlink r:id="rId6"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w:t>
      </w:r>
      <w:proofErr w:type="gramEnd"/>
      <w:r>
        <w:rPr>
          <w:rFonts w:ascii="Times New Roman" w:hAnsi="Times New Roman" w:cs="Times New Roman"/>
          <w:sz w:val="24"/>
          <w:szCs w:val="24"/>
        </w:rPr>
        <w:t xml:space="preserve"> постановлением Правительства Российской Федерации от 1 ноября 2013 г. N 980 (Собрание законодательства Российской Федерации, 2013, N 45, ст. 5816; </w:t>
      </w:r>
      <w:proofErr w:type="gramStart"/>
      <w:r>
        <w:rPr>
          <w:rFonts w:ascii="Times New Roman" w:hAnsi="Times New Roman" w:cs="Times New Roman"/>
          <w:sz w:val="24"/>
          <w:szCs w:val="24"/>
        </w:rPr>
        <w:t xml:space="preserve">2018, N 52, ст. 8305), </w:t>
      </w:r>
      <w:hyperlink r:id="rId7" w:history="1">
        <w:r>
          <w:rPr>
            <w:rFonts w:ascii="Times New Roman" w:hAnsi="Times New Roman" w:cs="Times New Roman"/>
            <w:sz w:val="24"/>
            <w:szCs w:val="24"/>
            <w:u w:val="single"/>
          </w:rPr>
          <w:t>Порядком</w:t>
        </w:r>
      </w:hyperlink>
      <w:r>
        <w:rPr>
          <w:rFonts w:ascii="Times New Roman" w:hAnsi="Times New Roman" w:cs="Times New Roman"/>
          <w:sz w:val="24"/>
          <w:szCs w:val="24"/>
        </w:rPr>
        <w:t xml:space="preserve">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N 438 (зарегистрирован Министерством юстиции Российской Федерации 11 сентября 2020 г., регистрационный N 59784).</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Примерной программы представлено пояснительной запиской, примерным учебным планом, примерными рабочими программами учебных предметов, планируемыми результатами освоения Примерной программы, условиями реализации Примерной программы, системой оценки результатов освоения Примерной программы, учебно-методическими материалами, обеспечивающими реализацию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Примерный учебный план содержит перечень учебных предметов базового и специального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Базовый ци</w:t>
      </w:r>
      <w:proofErr w:type="gramStart"/>
      <w:r>
        <w:rPr>
          <w:rFonts w:ascii="Times New Roman" w:hAnsi="Times New Roman" w:cs="Times New Roman"/>
          <w:sz w:val="24"/>
          <w:szCs w:val="24"/>
        </w:rPr>
        <w:t>кл вкл</w:t>
      </w:r>
      <w:proofErr w:type="gramEnd"/>
      <w:r>
        <w:rPr>
          <w:rFonts w:ascii="Times New Roman" w:hAnsi="Times New Roman" w:cs="Times New Roman"/>
          <w:sz w:val="24"/>
          <w:szCs w:val="24"/>
        </w:rPr>
        <w:t>ючает учебные предметы: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"Первая помощь при дорожно-транспортном происшествии".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Специальный ци</w:t>
      </w:r>
      <w:proofErr w:type="gramStart"/>
      <w:r>
        <w:rPr>
          <w:rFonts w:ascii="Times New Roman" w:hAnsi="Times New Roman" w:cs="Times New Roman"/>
          <w:sz w:val="24"/>
          <w:szCs w:val="24"/>
        </w:rPr>
        <w:t>кл вкл</w:t>
      </w:r>
      <w:proofErr w:type="gramEnd"/>
      <w:r>
        <w:rPr>
          <w:rFonts w:ascii="Times New Roman" w:hAnsi="Times New Roman" w:cs="Times New Roman"/>
          <w:sz w:val="24"/>
          <w:szCs w:val="24"/>
        </w:rPr>
        <w:t>ючает учебные предметы: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подкатегории "A1";</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"Вождение транспортных средств подкатегории "A1" (с механической трансмиссией/с автоматической трансмиссией)".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Примерные 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подкатегории "A1", разработанной и утвержденной организацией, осуществляющей образовательную деятельность, в соответствии с частями </w:t>
      </w:r>
      <w:hyperlink r:id="rId8"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9"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статьи 12 Федерального закона об образовании (Собрание законодательства Российской Федерации, 2012, N 53, ст. 7598, 2021, N 1, ст. 56), согласованной с Государственной инспекцией безопасности дорожного движения Министерства внутренних</w:t>
      </w:r>
      <w:proofErr w:type="gramEnd"/>
      <w:r>
        <w:rPr>
          <w:rFonts w:ascii="Times New Roman" w:hAnsi="Times New Roman" w:cs="Times New Roman"/>
          <w:sz w:val="24"/>
          <w:szCs w:val="24"/>
        </w:rPr>
        <w:t xml:space="preserve"> дел Российской Федерации согласно </w:t>
      </w:r>
      <w:hyperlink r:id="rId10" w:history="1">
        <w:r>
          <w:rPr>
            <w:rFonts w:ascii="Times New Roman" w:hAnsi="Times New Roman" w:cs="Times New Roman"/>
            <w:sz w:val="24"/>
            <w:szCs w:val="24"/>
            <w:u w:val="single"/>
          </w:rPr>
          <w:t>подпункту "в"</w:t>
        </w:r>
      </w:hyperlink>
      <w:r>
        <w:rPr>
          <w:rFonts w:ascii="Times New Roman" w:hAnsi="Times New Roman" w:cs="Times New Roman"/>
          <w:sz w:val="24"/>
          <w:szCs w:val="24"/>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N 1490 (Собрание законодательства Российской Федерации, 2020, N 39, ст. 6067) (далее - образовательная программа).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Условия реализации Примерной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Примерная программа предусматривает достаточный для формирования, закрепления и развития практических навыков и компетенций объем практики.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Примерная программа может быть использована для разработки рабочей программы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Примерная программа может быть использована для разработки рабочей программы профессиональной подготовки лиц, не достигших 18 лет.</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 Примерный учебный план</w:t>
      </w: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443"/>
        <w:gridCol w:w="2250"/>
        <w:gridCol w:w="2250"/>
        <w:gridCol w:w="2250"/>
      </w:tblGrid>
      <w:tr w:rsidR="00383D3D" w:rsidTr="0063007A">
        <w:tblPrEx>
          <w:tblCellMar>
            <w:top w:w="0" w:type="dxa"/>
            <w:left w:w="0" w:type="dxa"/>
            <w:bottom w:w="0" w:type="dxa"/>
            <w:right w:w="0" w:type="dxa"/>
          </w:tblCellMar>
        </w:tblPrEx>
        <w:trPr>
          <w:jc w:val="center"/>
        </w:trPr>
        <w:tc>
          <w:tcPr>
            <w:tcW w:w="225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675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2250" w:type="dxa"/>
            <w:vMerge/>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45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63007A">
        <w:tblPrEx>
          <w:tblCellMar>
            <w:top w:w="0" w:type="dxa"/>
            <w:left w:w="0" w:type="dxa"/>
            <w:bottom w:w="0" w:type="dxa"/>
            <w:right w:w="0" w:type="dxa"/>
          </w:tblCellMar>
        </w:tblPrEx>
        <w:trPr>
          <w:jc w:val="center"/>
        </w:trPr>
        <w:tc>
          <w:tcPr>
            <w:tcW w:w="225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225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Теоретические </w:t>
            </w:r>
            <w:r>
              <w:rPr>
                <w:rFonts w:ascii="Times New Roman" w:hAnsi="Times New Roman" w:cs="Times New Roman"/>
                <w:sz w:val="24"/>
                <w:szCs w:val="24"/>
              </w:rPr>
              <w:lastRenderedPageBreak/>
              <w:t>занятия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Практические </w:t>
            </w:r>
            <w:r>
              <w:rPr>
                <w:rFonts w:ascii="Times New Roman" w:hAnsi="Times New Roman" w:cs="Times New Roman"/>
                <w:sz w:val="24"/>
                <w:szCs w:val="24"/>
              </w:rPr>
              <w:lastRenderedPageBreak/>
              <w:t>занятия</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Учебные предметы базового цикла</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Первая помощь при дорожно-транспортном происшествии</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предметы специального цикла</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подкатегории "A1"</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Вождение транспортных средств подкатегории "A1" (с механической трансмиссией/с автоматической трансмиссией)</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18/16</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18/16</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Квалификационный экзамен</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130/128</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76</w:t>
            </w:r>
          </w:p>
        </w:tc>
        <w:tc>
          <w:tcPr>
            <w:tcW w:w="22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54/52</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b/>
          <w:bCs/>
          <w:sz w:val="32"/>
          <w:szCs w:val="32"/>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b/>
          <w:bCs/>
          <w:sz w:val="32"/>
          <w:szCs w:val="32"/>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III. Примерные рабочие программы учебных предметов</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 Базовый цикл Примерной программы.</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3.1.1. Учебный предмет "Основы законодательства Российской </w:t>
      </w:r>
      <w:r>
        <w:rPr>
          <w:rFonts w:ascii="Times New Roman" w:hAnsi="Times New Roman" w:cs="Times New Roman"/>
          <w:b/>
          <w:bCs/>
          <w:sz w:val="32"/>
          <w:szCs w:val="32"/>
        </w:rPr>
        <w:lastRenderedPageBreak/>
        <w:t>Федерации в сфере дорожного движения".</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2</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63007A">
        <w:tblPrEx>
          <w:tblCellMar>
            <w:top w:w="0" w:type="dxa"/>
            <w:left w:w="0" w:type="dxa"/>
            <w:bottom w:w="0" w:type="dxa"/>
            <w:right w:w="0" w:type="dxa"/>
          </w:tblCellMar>
        </w:tblPrEx>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в сфере дорожного движения</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hyperlink r:id="rId11"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 утвержденные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Общие положения, основные понятия и термины, используемые в Правилах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Обязанности участников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движения и расположение транспортных средств на проезжей части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Регулирование дорожного движения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мест остановок маршрутных транспортных средств и железнодорожных переездов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Буксировка транспортных средств, перевозка людей и грузов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3.1.1.1. Законодательство Российской Федерации в сфере </w:t>
      </w:r>
      <w:r>
        <w:rPr>
          <w:rFonts w:ascii="Times New Roman" w:hAnsi="Times New Roman" w:cs="Times New Roman"/>
          <w:b/>
          <w:bCs/>
          <w:sz w:val="32"/>
          <w:szCs w:val="32"/>
        </w:rPr>
        <w:lastRenderedPageBreak/>
        <w:t>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Законодательство Российской Федерации, устанавливающее ответственность за нарушения в сфере дорожного движения: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w:t>
      </w:r>
      <w:proofErr w:type="gramEnd"/>
      <w:r>
        <w:rPr>
          <w:rFonts w:ascii="Times New Roman" w:hAnsi="Times New Roman" w:cs="Times New Roman"/>
          <w:sz w:val="24"/>
          <w:szCs w:val="24"/>
        </w:rPr>
        <w:t xml:space="preserve"> общие положения; условия и порядок осуществления обязательного страхования; компенсационные выплаты.</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3.1.1.2. Правила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Общие положения, основные понятия и термины, используемые в </w:t>
      </w:r>
      <w:hyperlink r:id="rId12" w:history="1">
        <w:r>
          <w:rPr>
            <w:rFonts w:ascii="Times New Roman" w:hAnsi="Times New Roman" w:cs="Times New Roman"/>
            <w:sz w:val="24"/>
            <w:szCs w:val="24"/>
            <w:u w:val="single"/>
          </w:rPr>
          <w:t>Правилах</w:t>
        </w:r>
      </w:hyperlink>
      <w:r>
        <w:rPr>
          <w:rFonts w:ascii="Times New Roman" w:hAnsi="Times New Roman" w:cs="Times New Roman"/>
          <w:sz w:val="24"/>
          <w:szCs w:val="24"/>
        </w:rPr>
        <w:t xml:space="preserve"> дорожного движения; значение </w:t>
      </w:r>
      <w:hyperlink r:id="rId13"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в обеспечении порядка и безопасности дорожного движения; структура </w:t>
      </w:r>
      <w:hyperlink r:id="rId14"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w:t>
      </w:r>
      <w:proofErr w:type="gramEnd"/>
      <w:r>
        <w:rPr>
          <w:rFonts w:ascii="Times New Roman" w:hAnsi="Times New Roman" w:cs="Times New Roman"/>
          <w:sz w:val="24"/>
          <w:szCs w:val="24"/>
        </w:rPr>
        <w:t xml:space="preserve"> различия в порядке движения по населенным пунктам в зависимости от их обозначения.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w:t>
      </w:r>
      <w:proofErr w:type="gramEnd"/>
      <w:r>
        <w:rPr>
          <w:rFonts w:ascii="Times New Roman" w:hAnsi="Times New Roman" w:cs="Times New Roman"/>
          <w:sz w:val="24"/>
          <w:szCs w:val="24"/>
        </w:rPr>
        <w:t xml:space="preserve">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w:t>
      </w:r>
      <w:proofErr w:type="gramEnd"/>
      <w:r>
        <w:rPr>
          <w:rFonts w:ascii="Times New Roman" w:hAnsi="Times New Roman" w:cs="Times New Roman"/>
          <w:sz w:val="24"/>
          <w:szCs w:val="24"/>
        </w:rPr>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w:t>
      </w:r>
      <w:r>
        <w:rPr>
          <w:rFonts w:ascii="Times New Roman" w:hAnsi="Times New Roman" w:cs="Times New Roman"/>
          <w:sz w:val="24"/>
          <w:szCs w:val="24"/>
        </w:rPr>
        <w:lastRenderedPageBreak/>
        <w:t xml:space="preserve">различной шириной проезжей части; порядок движения тихоходных транспортных средств; </w:t>
      </w:r>
      <w:proofErr w:type="gramStart"/>
      <w:r>
        <w:rPr>
          <w:rFonts w:ascii="Times New Roman" w:hAnsi="Times New Roman" w:cs="Times New Roman"/>
          <w:sz w:val="24"/>
          <w:szCs w:val="24"/>
        </w:rPr>
        <w:t>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w:t>
      </w:r>
      <w:proofErr w:type="gramEnd"/>
      <w:r>
        <w:rPr>
          <w:rFonts w:ascii="Times New Roman" w:hAnsi="Times New Roman" w:cs="Times New Roman"/>
          <w:sz w:val="24"/>
          <w:szCs w:val="24"/>
        </w:rPr>
        <w:t xml:space="preserve"> действия водителей перед началом обгона и при обгоне; места, где обгон запрещен; опережение транспортных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 xml:space="preserve">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w:t>
      </w:r>
      <w:proofErr w:type="gramStart"/>
      <w:r>
        <w:rPr>
          <w:rFonts w:ascii="Times New Roman" w:hAnsi="Times New Roman" w:cs="Times New Roman"/>
          <w:sz w:val="24"/>
          <w:szCs w:val="24"/>
        </w:rPr>
        <w:t>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w:t>
      </w:r>
      <w:proofErr w:type="gramEnd"/>
      <w:r>
        <w:rPr>
          <w:rFonts w:ascii="Times New Roman" w:hAnsi="Times New Roman" w:cs="Times New Roman"/>
          <w:sz w:val="24"/>
          <w:szCs w:val="24"/>
        </w:rPr>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w:t>
      </w:r>
      <w:proofErr w:type="gramEnd"/>
      <w:r>
        <w:rPr>
          <w:rFonts w:ascii="Times New Roman" w:hAnsi="Times New Roman" w:cs="Times New Roman"/>
          <w:sz w:val="24"/>
          <w:szCs w:val="24"/>
        </w:rPr>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Pr>
          <w:rFonts w:ascii="Times New Roman" w:hAnsi="Times New Roman" w:cs="Times New Roman"/>
          <w:sz w:val="24"/>
          <w:szCs w:val="24"/>
        </w:rPr>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w:t>
      </w:r>
      <w:r>
        <w:rPr>
          <w:rFonts w:ascii="Times New Roman" w:hAnsi="Times New Roman" w:cs="Times New Roman"/>
          <w:sz w:val="24"/>
          <w:szCs w:val="24"/>
        </w:rPr>
        <w:lastRenderedPageBreak/>
        <w:t xml:space="preserve">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w:t>
      </w:r>
      <w:proofErr w:type="gramStart"/>
      <w:r>
        <w:rPr>
          <w:rFonts w:ascii="Times New Roman" w:hAnsi="Times New Roman" w:cs="Times New Roman"/>
          <w:sz w:val="24"/>
          <w:szCs w:val="24"/>
        </w:rPr>
        <w:t>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roofErr w:type="gramEnd"/>
      <w:r>
        <w:rPr>
          <w:rFonts w:ascii="Times New Roman" w:hAnsi="Times New Roman" w:cs="Times New Roman"/>
          <w:sz w:val="24"/>
          <w:szCs w:val="24"/>
        </w:rPr>
        <w:t xml:space="preserve">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w:t>
      </w:r>
      <w:proofErr w:type="gramEnd"/>
      <w:r>
        <w:rPr>
          <w:rFonts w:ascii="Times New Roman" w:hAnsi="Times New Roman" w:cs="Times New Roman"/>
          <w:sz w:val="24"/>
          <w:szCs w:val="24"/>
        </w:rPr>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w:t>
      </w:r>
      <w:proofErr w:type="gramStart"/>
      <w:r>
        <w:rPr>
          <w:rFonts w:ascii="Times New Roman" w:hAnsi="Times New Roman" w:cs="Times New Roman"/>
          <w:sz w:val="24"/>
          <w:szCs w:val="24"/>
        </w:rPr>
        <w:t>безопасности дорожного движения Министерства внутренних дел Российской Федерации</w:t>
      </w:r>
      <w:proofErr w:type="gramEnd"/>
      <w:r>
        <w:rPr>
          <w:rFonts w:ascii="Times New Roman" w:hAnsi="Times New Roman" w:cs="Times New Roman"/>
          <w:sz w:val="24"/>
          <w:szCs w:val="24"/>
        </w:rPr>
        <w:t>.</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3.1.2. Учебный предмет "Психофизиологические основы деятельности водителя".</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3</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63007A">
        <w:tblPrEx>
          <w:tblCellMar>
            <w:top w:w="0" w:type="dxa"/>
            <w:left w:w="0" w:type="dxa"/>
            <w:bottom w:w="0" w:type="dxa"/>
            <w:right w:w="0" w:type="dxa"/>
          </w:tblCellMar>
        </w:tblPrEx>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Познавательные функции, системы восприятия и </w:t>
            </w:r>
            <w:r>
              <w:rPr>
                <w:rFonts w:ascii="Times New Roman" w:hAnsi="Times New Roman" w:cs="Times New Roman"/>
                <w:sz w:val="24"/>
                <w:szCs w:val="24"/>
              </w:rPr>
              <w:lastRenderedPageBreak/>
              <w:t>психомоторные навыки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Этические основы деятельности водителя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эффективного общения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Эмоциональные состояния и профилактика конфликтов</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Саморегуляция и профилактика конфликтов (психологический практикум)</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w:t>
      </w:r>
      <w:proofErr w:type="gramEnd"/>
      <w:r>
        <w:rPr>
          <w:rFonts w:ascii="Times New Roman" w:hAnsi="Times New Roman" w:cs="Times New Roman"/>
          <w:sz w:val="24"/>
          <w:szCs w:val="24"/>
        </w:rPr>
        <w:t xml:space="preserve">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w:t>
      </w:r>
      <w:proofErr w:type="gramEnd"/>
      <w:r>
        <w:rPr>
          <w:rFonts w:ascii="Times New Roman" w:hAnsi="Times New Roman" w:cs="Times New Roman"/>
          <w:sz w:val="24"/>
          <w:szCs w:val="24"/>
        </w:rPr>
        <w:t xml:space="preserve">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w:t>
      </w:r>
      <w:proofErr w:type="gramEnd"/>
      <w:r>
        <w:rPr>
          <w:rFonts w:ascii="Times New Roman" w:hAnsi="Times New Roman" w:cs="Times New Roman"/>
          <w:sz w:val="24"/>
          <w:szCs w:val="24"/>
        </w:rPr>
        <w:t xml:space="preserve"> барьеры в межличностном общении, причины и условия их формирования; </w:t>
      </w:r>
      <w:r>
        <w:rPr>
          <w:rFonts w:ascii="Times New Roman" w:hAnsi="Times New Roman" w:cs="Times New Roman"/>
          <w:sz w:val="24"/>
          <w:szCs w:val="24"/>
        </w:rPr>
        <w:lastRenderedPageBreak/>
        <w:t>общение в условиях конфликта; особенности эффективного общения; правила, повышающие эффективность общения.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w:t>
      </w:r>
      <w:proofErr w:type="gramEnd"/>
      <w:r>
        <w:rPr>
          <w:rFonts w:ascii="Times New Roman" w:hAnsi="Times New Roman" w:cs="Times New Roman"/>
          <w:sz w:val="24"/>
          <w:szCs w:val="24"/>
        </w:rPr>
        <w:t xml:space="preserve">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3.1.3. Учебный предмет "Основы управления транспортными средствами".</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4</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63007A">
        <w:tblPrEx>
          <w:tblCellMar>
            <w:top w:w="0" w:type="dxa"/>
            <w:left w:w="0" w:type="dxa"/>
            <w:bottom w:w="0" w:type="dxa"/>
            <w:right w:w="0" w:type="dxa"/>
          </w:tblCellMar>
        </w:tblPrEx>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Дорожное движение</w:t>
            </w:r>
          </w:p>
        </w:tc>
        <w:tc>
          <w:tcPr>
            <w:tcW w:w="81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81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свой</w:t>
            </w:r>
            <w:proofErr w:type="gramStart"/>
            <w:r>
              <w:rPr>
                <w:rFonts w:ascii="Times New Roman" w:hAnsi="Times New Roman" w:cs="Times New Roman"/>
                <w:sz w:val="24"/>
                <w:szCs w:val="24"/>
              </w:rPr>
              <w:t>ств тр</w:t>
            </w:r>
            <w:proofErr w:type="gramEnd"/>
            <w:r>
              <w:rPr>
                <w:rFonts w:ascii="Times New Roman" w:hAnsi="Times New Roman" w:cs="Times New Roman"/>
                <w:sz w:val="24"/>
                <w:szCs w:val="24"/>
              </w:rPr>
              <w:t>анспортного средства на эффективность и безопасность управления</w:t>
            </w:r>
          </w:p>
        </w:tc>
        <w:tc>
          <w:tcPr>
            <w:tcW w:w="81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условия и безопасность движения</w:t>
            </w:r>
          </w:p>
        </w:tc>
        <w:tc>
          <w:tcPr>
            <w:tcW w:w="81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Принципы эффективного и безопасного управления транспортным средством</w:t>
            </w:r>
          </w:p>
        </w:tc>
        <w:tc>
          <w:tcPr>
            <w:tcW w:w="81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Обеспечение безопасности наиболее уязвимых участников дорожного движения</w:t>
            </w:r>
          </w:p>
        </w:tc>
        <w:tc>
          <w:tcPr>
            <w:tcW w:w="81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участии в дорожном движении;</w:t>
      </w:r>
      <w:proofErr w:type="gramEnd"/>
      <w:r>
        <w:rPr>
          <w:rFonts w:ascii="Times New Roman" w:hAnsi="Times New Roman" w:cs="Times New Roman"/>
          <w:sz w:val="24"/>
          <w:szCs w:val="24"/>
        </w:rPr>
        <w:t xml:space="preserve">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w:t>
      </w:r>
      <w:r>
        <w:rPr>
          <w:rFonts w:ascii="Times New Roman" w:hAnsi="Times New Roman" w:cs="Times New Roman"/>
          <w:sz w:val="24"/>
          <w:szCs w:val="24"/>
        </w:rPr>
        <w:lastRenderedPageBreak/>
        <w:t>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w:t>
      </w:r>
      <w:proofErr w:type="gramStart"/>
      <w:r>
        <w:rPr>
          <w:rFonts w:ascii="Times New Roman" w:hAnsi="Times New Roman" w:cs="Times New Roman"/>
          <w:sz w:val="24"/>
          <w:szCs w:val="24"/>
        </w:rPr>
        <w:t>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w:t>
      </w:r>
      <w:proofErr w:type="gramEnd"/>
      <w:r>
        <w:rPr>
          <w:rFonts w:ascii="Times New Roman" w:hAnsi="Times New Roman" w:cs="Times New Roman"/>
          <w:sz w:val="24"/>
          <w:szCs w:val="24"/>
        </w:rPr>
        <w:t xml:space="preserve">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w:t>
      </w:r>
      <w:proofErr w:type="gramEnd"/>
      <w:r>
        <w:rPr>
          <w:rFonts w:ascii="Times New Roman" w:hAnsi="Times New Roman" w:cs="Times New Roman"/>
          <w:sz w:val="24"/>
          <w:szCs w:val="24"/>
        </w:rPr>
        <w:t xml:space="preserve">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Pr>
          <w:rFonts w:ascii="Times New Roman" w:hAnsi="Times New Roman" w:cs="Times New Roman"/>
          <w:sz w:val="24"/>
          <w:szCs w:val="24"/>
        </w:rPr>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Pr>
          <w:rFonts w:ascii="Times New Roman" w:hAnsi="Times New Roman" w:cs="Times New Roman"/>
          <w:sz w:val="24"/>
          <w:szCs w:val="24"/>
        </w:rPr>
        <w:t xml:space="preserve">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w:t>
      </w:r>
      <w:proofErr w:type="gramStart"/>
      <w:r>
        <w:rPr>
          <w:rFonts w:ascii="Times New Roman" w:hAnsi="Times New Roman" w:cs="Times New Roman"/>
          <w:sz w:val="24"/>
          <w:szCs w:val="24"/>
        </w:rPr>
        <w:t>дств в п</w:t>
      </w:r>
      <w:proofErr w:type="gramEnd"/>
      <w:r>
        <w:rPr>
          <w:rFonts w:ascii="Times New Roman" w:hAnsi="Times New Roman" w:cs="Times New Roman"/>
          <w:sz w:val="24"/>
          <w:szCs w:val="24"/>
        </w:rPr>
        <w:t xml:space="preserve">аре "ведущий - ведомый"; безопасные условия обгона (опережения); повышение риска ДТП при увеличении отклонения </w:t>
      </w:r>
      <w:r>
        <w:rPr>
          <w:rFonts w:ascii="Times New Roman" w:hAnsi="Times New Roman" w:cs="Times New Roman"/>
          <w:sz w:val="24"/>
          <w:szCs w:val="24"/>
        </w:rPr>
        <w:lastRenderedPageBreak/>
        <w:t>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w:t>
      </w:r>
      <w:proofErr w:type="gramEnd"/>
      <w:r>
        <w:rPr>
          <w:rFonts w:ascii="Times New Roman" w:hAnsi="Times New Roman" w:cs="Times New Roman"/>
          <w:sz w:val="24"/>
          <w:szCs w:val="24"/>
        </w:rPr>
        <w:t xml:space="preserve">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w:t>
      </w:r>
      <w:proofErr w:type="gramEnd"/>
      <w:r>
        <w:rPr>
          <w:rFonts w:ascii="Times New Roman" w:hAnsi="Times New Roman" w:cs="Times New Roman"/>
          <w:sz w:val="24"/>
          <w:szCs w:val="24"/>
        </w:rPr>
        <w:t xml:space="preserve"> безопасность пешеходов и велосипедистов;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3.1.4. Учебный предмет "Первая помощь при дорожно-транспортном происшествии".</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5</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63007A">
        <w:tblPrEx>
          <w:tblCellMar>
            <w:top w:w="0" w:type="dxa"/>
            <w:left w:w="0" w:type="dxa"/>
            <w:bottom w:w="0" w:type="dxa"/>
            <w:right w:w="0" w:type="dxa"/>
          </w:tblCellMar>
        </w:tblPrEx>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Организационно-правовые аспекты оказания первой помощи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отсутствии сознания, остановке дыхания и кровообращения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наружных кровотечениях и травмах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Оказание первой помощи при прочих состояниях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w:t>
      </w:r>
      <w:proofErr w:type="gramEnd"/>
      <w:r>
        <w:rPr>
          <w:rFonts w:ascii="Times New Roman" w:hAnsi="Times New Roman" w:cs="Times New Roman"/>
          <w:sz w:val="24"/>
          <w:szCs w:val="24"/>
        </w:rPr>
        <w:t xml:space="preserve">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w:t>
      </w:r>
      <w:proofErr w:type="gramStart"/>
      <w:r>
        <w:rPr>
          <w:rFonts w:ascii="Times New Roman" w:hAnsi="Times New Roman" w:cs="Times New Roman"/>
          <w:sz w:val="24"/>
          <w:szCs w:val="24"/>
        </w:rPr>
        <w:t>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w:t>
      </w:r>
      <w:proofErr w:type="gramEnd"/>
      <w:r>
        <w:rPr>
          <w:rFonts w:ascii="Times New Roman" w:hAnsi="Times New Roman" w:cs="Times New Roman"/>
          <w:sz w:val="24"/>
          <w:szCs w:val="24"/>
        </w:rPr>
        <w:t xml:space="preserve"> извлечение и перемещение пострадавшего в ДТП.</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w:t>
      </w:r>
      <w:proofErr w:type="gramStart"/>
      <w:r>
        <w:rPr>
          <w:rFonts w:ascii="Times New Roman" w:hAnsi="Times New Roman" w:cs="Times New Roman"/>
          <w:sz w:val="24"/>
          <w:szCs w:val="24"/>
        </w:rPr>
        <w:t>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w:t>
      </w:r>
      <w:proofErr w:type="gramEnd"/>
      <w:r>
        <w:rPr>
          <w:rFonts w:ascii="Times New Roman" w:hAnsi="Times New Roman" w:cs="Times New Roman"/>
          <w:sz w:val="24"/>
          <w:szCs w:val="24"/>
        </w:rPr>
        <w:t xml:space="preserve">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w:t>
      </w:r>
      <w:proofErr w:type="gramStart"/>
      <w:r>
        <w:rPr>
          <w:rFonts w:ascii="Times New Roman" w:hAnsi="Times New Roman" w:cs="Times New Roman"/>
          <w:sz w:val="24"/>
          <w:szCs w:val="24"/>
        </w:rPr>
        <w:t xml:space="preserve">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w:t>
      </w:r>
      <w:r>
        <w:rPr>
          <w:rFonts w:ascii="Times New Roman" w:hAnsi="Times New Roman" w:cs="Times New Roman"/>
          <w:sz w:val="24"/>
          <w:szCs w:val="24"/>
        </w:rPr>
        <w:lastRenderedPageBreak/>
        <w:t>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roofErr w:type="gramEnd"/>
      <w:r>
        <w:rPr>
          <w:rFonts w:ascii="Times New Roman" w:hAnsi="Times New Roman" w:cs="Times New Roman"/>
          <w:sz w:val="24"/>
          <w:szCs w:val="24"/>
        </w:rPr>
        <w:t xml:space="preserve">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r>
        <w:rPr>
          <w:rFonts w:ascii="Times New Roman" w:hAnsi="Times New Roman" w:cs="Times New Roman"/>
          <w:sz w:val="24"/>
          <w:szCs w:val="24"/>
        </w:rPr>
        <w:t xml:space="preserve">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w:t>
      </w:r>
      <w:r>
        <w:rPr>
          <w:rFonts w:ascii="Times New Roman" w:hAnsi="Times New Roman" w:cs="Times New Roman"/>
          <w:sz w:val="24"/>
          <w:szCs w:val="24"/>
        </w:rPr>
        <w:lastRenderedPageBreak/>
        <w:t>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 Специальный цикл Примерной программы.</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 Учебный предмет "Устройство и техническое обслуживание транспортных средств подкатегории "A1" как объектов управления".</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6</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63007A">
        <w:tblPrEx>
          <w:tblCellMar>
            <w:top w:w="0" w:type="dxa"/>
            <w:left w:w="0" w:type="dxa"/>
            <w:bottom w:w="0" w:type="dxa"/>
            <w:right w:w="0" w:type="dxa"/>
          </w:tblCellMar>
        </w:tblPrEx>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транспортных средств</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подкатегории "A1"</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Двигатель</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Трансмиссия</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Ходовая часть</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Тормозные системы</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Источники и потребители электрической энергии</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9000" w:type="dxa"/>
            <w:gridSpan w:val="4"/>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Техническое обслуживание, меры безопасности и защиты окружающей природной среды</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неисправностей</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3.2.1.1. Устройство транспортных средств.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Общее устройство транспортных средств подкатегории "A1": классификация и основные технические характеристики транспортных средств подкатегории "A1"; общее устройство транспортных средств подкатегории "A1", назначение основных агрегатов и систем;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и эксплуатации электромобилей.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Двигатель: общее устройство и принцип работы двухтактного двигателя внутреннего сгорания; общее устройство и принцип работы четырехтактного двигателя внутреннего </w:t>
      </w:r>
      <w:r>
        <w:rPr>
          <w:rFonts w:ascii="Times New Roman" w:hAnsi="Times New Roman" w:cs="Times New Roman"/>
          <w:sz w:val="24"/>
          <w:szCs w:val="24"/>
        </w:rPr>
        <w:lastRenderedPageBreak/>
        <w:t>сгорания; электронная система управления двигателем; виды бензинов, применяемых в двигателях с различной степенью сжатия; понятие об октановом числе; виды охлаждающих жидкостей, их состав и эксплуатационные свойства; ограничения по смешиванию различных типов охлаждающих жидкостей;</w:t>
      </w:r>
      <w:proofErr w:type="gramEnd"/>
      <w:r>
        <w:rPr>
          <w:rFonts w:ascii="Times New Roman" w:hAnsi="Times New Roman" w:cs="Times New Roman"/>
          <w:sz w:val="24"/>
          <w:szCs w:val="24"/>
        </w:rPr>
        <w:t xml:space="preserve"> классификация, основные свойства и правила применения моторных масел; ограничения по смешиванию различных типов масел; неисправности двигателя, при наличии которых запрещается эксплуатация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Трансмиссия: назначение и состав трансмиссии транспортного средства; структурные схемы трансмиссии мотоциклов с различными типами приводов; назначение и общее устройство первичной (моторной) передачи; назначение, разновидности и принцип работы сцепления; устройство механического привода выключения сцепления; правила эксплуатации сцепления, обеспечивающие его длительную и надежную работу; назначение, общее устройство и принцип работы механической коробки передач;</w:t>
      </w:r>
      <w:proofErr w:type="gramEnd"/>
      <w:r>
        <w:rPr>
          <w:rFonts w:ascii="Times New Roman" w:hAnsi="Times New Roman" w:cs="Times New Roman"/>
          <w:sz w:val="24"/>
          <w:szCs w:val="24"/>
        </w:rPr>
        <w:t xml:space="preserve"> понятие о передаточном числе и крутящем моменте; бесступенчатые коробки передач; назначение, устройство и принцип работы пускового механизма с механическим приводом (кик-стартера); вторичная (задняя) передача. Маркировка и правила применения пластичных смазок.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Ходовая часть: назначение и состав ходовой части транспортного средства. </w:t>
      </w:r>
      <w:proofErr w:type="gramStart"/>
      <w:r>
        <w:rPr>
          <w:rFonts w:ascii="Times New Roman" w:hAnsi="Times New Roman" w:cs="Times New Roman"/>
          <w:sz w:val="24"/>
          <w:szCs w:val="24"/>
        </w:rPr>
        <w:t>Назначение и общее устройство рамы транспортного средства; передняя и задняя подвески, их назначение, основные виды; устройство и принцип работы передней вилки; устройство и принцип работы амортизатора; виды мотоциклетных колес; крепление колес; конструкции и маркировка мотоциклетных шин; условия эксплуатации шин, обеспечивающие их надежность; неисправности ходовой части, при наличии которых запрещается эксплуатация транспортного средства.</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Тормозные системы: тормозные системы, их назначение, общее устройство и принцип работы; тормозные механизмы и тормозные приводы; тормозные жидкости, применяемые в тормозной системе с гидравлическим приводом, их марки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Pr>
          <w:rFonts w:ascii="Times New Roman" w:hAnsi="Times New Roman" w:cs="Times New Roman"/>
          <w:sz w:val="24"/>
          <w:szCs w:val="24"/>
        </w:rPr>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неисправности электрооборудования, при наличии которых запрещается эксплуатация транспортного средства.</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3.2.1.2. Техническое обслуживание.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Техническое обслуживание, меры безопасности и защиты окружающей природной среды: система технического обслуживания и ремонта транспортных средств; назначение и периодичность технического обслуживания; организации, осуществляющие техническое обслуживание и ремонт транспортных средств; назначение контрольного осмотра и ежедневного технического обслуживания, перечень и содержание работ, выполняемых водителем; технический осмотр транспортных средств, его назначение, периодичность и </w:t>
      </w:r>
      <w:r>
        <w:rPr>
          <w:rFonts w:ascii="Times New Roman" w:hAnsi="Times New Roman" w:cs="Times New Roman"/>
          <w:sz w:val="24"/>
          <w:szCs w:val="24"/>
        </w:rPr>
        <w:lastRenderedPageBreak/>
        <w:t>порядок проведения;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 меры безопасности при выполнении работ по ежедневному техническому обслуживанию мотоцикла; противопожарная безопасность на автозаправочных станциях; меры по защите окружающей природной среды при эксплуатации транспортного средства.</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тормозной системы; проверка и доведение до нормы давления воздуха в шинах колес; проверка и регулировка натяжения цепи привода вторичной передачи;</w:t>
      </w:r>
      <w:proofErr w:type="gramEnd"/>
      <w:r>
        <w:rPr>
          <w:rFonts w:ascii="Times New Roman" w:hAnsi="Times New Roman" w:cs="Times New Roman"/>
          <w:sz w:val="24"/>
          <w:szCs w:val="24"/>
        </w:rPr>
        <w:t xml:space="preserve"> проверка состояния аккумуляторной батареи; снятие и установка аккумуляторной батареи; снятие и установка колеса; снятие и установка электроламп; снятие и установка плавкого предохранителя.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Практическое занятие проводится на учебном транспортном средстве.</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3.2.2. Учебный предмет "Основы управления транспортными средствами подкатегории "A1".</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7</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490"/>
        <w:gridCol w:w="810"/>
        <w:gridCol w:w="1534"/>
        <w:gridCol w:w="1451"/>
      </w:tblGrid>
      <w:tr w:rsidR="00383D3D" w:rsidTr="0063007A">
        <w:tblPrEx>
          <w:tblCellMar>
            <w:top w:w="0" w:type="dxa"/>
            <w:left w:w="0" w:type="dxa"/>
            <w:bottom w:w="0" w:type="dxa"/>
            <w:right w:w="0" w:type="dxa"/>
          </w:tblCellMar>
        </w:tblPrEx>
        <w:trPr>
          <w:jc w:val="center"/>
        </w:trPr>
        <w:tc>
          <w:tcPr>
            <w:tcW w:w="549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разделов и тем</w:t>
            </w:r>
          </w:p>
        </w:tc>
        <w:tc>
          <w:tcPr>
            <w:tcW w:w="351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val="restart"/>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27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том числе</w:t>
            </w:r>
          </w:p>
        </w:tc>
      </w:tr>
      <w:tr w:rsidR="00383D3D" w:rsidTr="0063007A">
        <w:tblPrEx>
          <w:tblCellMar>
            <w:top w:w="0" w:type="dxa"/>
            <w:left w:w="0" w:type="dxa"/>
            <w:bottom w:w="0" w:type="dxa"/>
            <w:right w:w="0" w:type="dxa"/>
          </w:tblCellMar>
        </w:tblPrEx>
        <w:trPr>
          <w:jc w:val="center"/>
        </w:trPr>
        <w:tc>
          <w:tcPr>
            <w:tcW w:w="549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810" w:type="dxa"/>
            <w:vMerge/>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Теоретические занятия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Практические занятия</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Приемы управления транспортным средством</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штатных ситуациях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транспортным средством в нештатных ситуациях</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54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8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Приемы управления транспортным средством: силы, действующие на транспортное средство в различных условиях движения; устойчивость мотоцикла; влияние гироскопического момента на движение транспортного средства в повороте; посадка водителя, экипировка водителя; активная и пассивная безопасность транспортного средства; регулировка органов управления и зеркал заднего вида; подготовка транспортного средства к выезду; порядок пуска двигателя; техника выполнения операций с органами управления;</w:t>
      </w:r>
      <w:proofErr w:type="gramEnd"/>
      <w:r>
        <w:rPr>
          <w:rFonts w:ascii="Times New Roman" w:hAnsi="Times New Roman" w:cs="Times New Roman"/>
          <w:sz w:val="24"/>
          <w:szCs w:val="24"/>
        </w:rPr>
        <w:t xml:space="preserve"> правила пользования сцеплением, обеспечивающие его длительную и надежную работу;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действия ручным и ножным тормозом, обеспечивающие плавное замедление в штатных ситуациях и реализацию максимальной тормозной силы в нештатных режимах торможения; прерывистый, ступенчатый и комбинированный способы торможения; особенности управления транспортным средством с бесступенчатой коробкой передач; </w:t>
      </w:r>
      <w:r>
        <w:rPr>
          <w:rFonts w:ascii="Times New Roman" w:hAnsi="Times New Roman" w:cs="Times New Roman"/>
          <w:sz w:val="24"/>
          <w:szCs w:val="24"/>
        </w:rPr>
        <w:lastRenderedPageBreak/>
        <w:t>особенности управления электромобилем.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Управление транспортным средством в штатных ситуациях: маневрирование в ограниченном пространстве; особенности траектории движения транспортного средства при маневрировании; приемы управления транспортным средством при прохождении поворотов различного радиуса; выбор безопасной скорости и траектории движения в зависимости от состояния дорожного покрытия, радиуса поворота и конструктивных особенностей мотоцикла; действия водителя при движении в транспортном потоке;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выбор скорости и расположения транспортного средства на проезжей части в различных условиях движения, в том числе при интенсивном движении; алгоритм действий водителя при выполнении перестроений и объезде препятствий; пользование зеркалами заднего вида; порядок выполнения обгона; определение целесообразности обгона в зависимости от интенсивности транспортного потока, условий видимости и состояния дорожного покрытия, а также скорости движения обгоняемого транспортного средства;</w:t>
      </w:r>
      <w:proofErr w:type="gramEnd"/>
      <w:r>
        <w:rPr>
          <w:rFonts w:ascii="Times New Roman" w:hAnsi="Times New Roman" w:cs="Times New Roman"/>
          <w:sz w:val="24"/>
          <w:szCs w:val="24"/>
        </w:rPr>
        <w:t xml:space="preserve"> способы выполнения разворота вне перекрестков; остановка на проезжей части дороги и за ее пределами; действия водителя при вынужденной остановке в местах, где остановка запрещена; меры предосторожности при приближении к перекресткам; определение порядка проезда регулируемых и нерегулируемых перекрестков; выбор траектории движения при выполнении поворотов и разворота на перекрестках;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движение в горной местности, на крутых подъемах и спусках; </w:t>
      </w:r>
      <w:proofErr w:type="gramStart"/>
      <w:r>
        <w:rPr>
          <w:rFonts w:ascii="Times New Roman" w:hAnsi="Times New Roman" w:cs="Times New Roman"/>
          <w:sz w:val="24"/>
          <w:szCs w:val="24"/>
        </w:rPr>
        <w:t>движение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мотоциклом при движении в условиях недостаточной видимости (ночь, туман, дождь); особенности управления мотоциклом при движении по дороге с низким коэффициентом сцепления дорожного покрытия;</w:t>
      </w:r>
      <w:proofErr w:type="gramEnd"/>
      <w:r>
        <w:rPr>
          <w:rFonts w:ascii="Times New Roman" w:hAnsi="Times New Roman" w:cs="Times New Roman"/>
          <w:sz w:val="24"/>
          <w:szCs w:val="24"/>
        </w:rPr>
        <w:t xml:space="preserve"> перевозка пассажира и груза; ограничения по перевозке детей на заднем сидении транспортного средства. Решение ситуационных задач.</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Управление транспортным средством в нештатных ситуациях: понятие о нештатной ситуации; причины возможных нештатных ситуаций, возникающих при встраивании в транспортный поток, пересечении транспортного потока, обгоне, торможении при неожиданном появлении препятствия, объезде препятствия, движении по участку дороги с поперечным уклоном, выезде из леса на открытый участок дороги при сильном боковом ветре; </w:t>
      </w:r>
      <w:proofErr w:type="gramStart"/>
      <w:r>
        <w:rPr>
          <w:rFonts w:ascii="Times New Roman" w:hAnsi="Times New Roman" w:cs="Times New Roman"/>
          <w:sz w:val="24"/>
          <w:szCs w:val="24"/>
        </w:rPr>
        <w:t>действия органами управления скоростью и тормозами при буксовании и блокировке колес; регулирование скорости в процессе разгона, предотвращающее буксование ведущего колеса; действия водителя при блокировке колес в процессе экстренного торможения; объезд препятствия как средство предотвращения наезда, когда затормозить уже невозможно; занос и снос транспортного средства, причины их возникновения; действия водителя по предотвращению заноса и сноса мотоцикла;</w:t>
      </w:r>
      <w:proofErr w:type="gramEnd"/>
      <w:r>
        <w:rPr>
          <w:rFonts w:ascii="Times New Roman" w:hAnsi="Times New Roman" w:cs="Times New Roman"/>
          <w:sz w:val="24"/>
          <w:szCs w:val="24"/>
        </w:rPr>
        <w:t xml:space="preserve"> действия водителя по прекращению заноса и сноса транспортного средства; действия водителя транспортного средства при превышении безопасной скорости на входе в поворот; действия водителя при угрозе столкновения, отказе тормоза, разрыве шины в движении; действия водителя при возгорании транспортного средства. Решение ситуационных задач.</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3.2.3 Учебный предмет "Вождение транспортных средств подкатегории "A1" (для транспортных средств с механической </w:t>
      </w:r>
      <w:r>
        <w:rPr>
          <w:rFonts w:ascii="Times New Roman" w:hAnsi="Times New Roman" w:cs="Times New Roman"/>
          <w:b/>
          <w:bCs/>
          <w:sz w:val="32"/>
          <w:szCs w:val="32"/>
        </w:rPr>
        <w:lastRenderedPageBreak/>
        <w:t>трансмиссией).</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8</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470"/>
        <w:gridCol w:w="1530"/>
      </w:tblGrid>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заданий</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383D3D" w:rsidTr="0063007A">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747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53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автоматической трансмиссией.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Посадка, действия с органами управления: посадка на транспортное средство, ознакомление с органами управления, регулировка зеркал заднего вида;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w:t>
      </w:r>
      <w:proofErr w:type="gramEnd"/>
      <w:r>
        <w:rPr>
          <w:rFonts w:ascii="Times New Roman" w:hAnsi="Times New Roman" w:cs="Times New Roman"/>
          <w:sz w:val="24"/>
          <w:szCs w:val="24"/>
        </w:rPr>
        <w:t xml:space="preserve"> действия органами управления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включении первой передачи и начале движения; действия при остановке и включении нейтральной передачи; действия при пуске двигателя, начале движения, переключении с первой на вторую передачу, переключении со второй передачи на первую, остановке, выключении двигателя.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начало движения, разгон, движение по прямой, </w:t>
      </w:r>
      <w:r>
        <w:rPr>
          <w:rFonts w:ascii="Times New Roman" w:hAnsi="Times New Roman" w:cs="Times New Roman"/>
          <w:sz w:val="24"/>
          <w:szCs w:val="24"/>
        </w:rPr>
        <w:lastRenderedPageBreak/>
        <w:t>остановка в заданном месте с применением прерывистого торможения (для транспортных средств, не оборудованных антиблокировочной системой тормозов (далее -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Pr>
          <w:rFonts w:ascii="Times New Roman" w:hAnsi="Times New Roman" w:cs="Times New Roman"/>
          <w:sz w:val="24"/>
          <w:szCs w:val="24"/>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w:t>
      </w:r>
      <w:proofErr w:type="gramEnd"/>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3.2.4. Учебный предмет "Вождение транспортных средств подкатегории "A1" (для транспортных средств с автоматической трансмиссией).</w:t>
      </w: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Распределение учебных часов по разделам и темам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9</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90"/>
        <w:gridCol w:w="1710"/>
      </w:tblGrid>
      <w:tr w:rsidR="00383D3D" w:rsidTr="0063007A">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заданий</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часов практического обучения</w:t>
            </w:r>
          </w:p>
        </w:tc>
      </w:tr>
      <w:tr w:rsidR="00383D3D" w:rsidTr="0063007A">
        <w:tblPrEx>
          <w:tblCellMar>
            <w:top w:w="0" w:type="dxa"/>
            <w:left w:w="0" w:type="dxa"/>
            <w:bottom w:w="0" w:type="dxa"/>
            <w:right w:w="0" w:type="dxa"/>
          </w:tblCellMar>
        </w:tblPrEx>
        <w:trPr>
          <w:jc w:val="center"/>
        </w:trPr>
        <w:tc>
          <w:tcPr>
            <w:tcW w:w="9000" w:type="dxa"/>
            <w:gridSpan w:val="2"/>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tc>
      </w:tr>
      <w:tr w:rsidR="00383D3D" w:rsidTr="0063007A">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действия органами управления</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r>
      <w:tr w:rsidR="00383D3D" w:rsidTr="0063007A">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r w:rsidR="00383D3D" w:rsidTr="0063007A">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Повороты в движении, разворот для движения в обратном направлении</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ограниченных проездах, сложное маневрирование</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383D3D" w:rsidTr="0063007A">
        <w:tblPrEx>
          <w:tblCellMar>
            <w:top w:w="0" w:type="dxa"/>
            <w:left w:w="0" w:type="dxa"/>
            <w:bottom w:w="0" w:type="dxa"/>
            <w:right w:w="0" w:type="dxa"/>
          </w:tblCellMar>
        </w:tblPrEx>
        <w:trPr>
          <w:jc w:val="center"/>
        </w:trPr>
        <w:tc>
          <w:tcPr>
            <w:tcW w:w="72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171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Первоначальное обучение вождению.</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допускается к сдаче квалификационного экзамена на транспортном средстве с автоматической трансмиссией.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Посадка, действия органами управления: посадка на транспортное средство, ознакомление с органами управления, регулировка зеркал заднего вида; действия органами управления подачей топлива, передним и задним тормозами; взаимодействие органами управления передним и задним тормозами; взаимодействие органами управления подачей топлива, передним и задним тормозами; удержание равновесия на неподвижном транспортном средстве; действия при пуске и выключении двигателя;</w:t>
      </w:r>
      <w:proofErr w:type="gramEnd"/>
      <w:r>
        <w:rPr>
          <w:rFonts w:ascii="Times New Roman" w:hAnsi="Times New Roman" w:cs="Times New Roman"/>
          <w:sz w:val="24"/>
          <w:szCs w:val="24"/>
        </w:rPr>
        <w:t xml:space="preserve"> действия при пуске двигателя, начале движения, остановке, выключении двигателя.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Начало движения, движение по кольцевому маршруту, остановка с применением различных способов торможения: начало движения, разгон и снижение скорости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Pr>
          <w:rFonts w:ascii="Times New Roman" w:hAnsi="Times New Roman" w:cs="Times New Roman"/>
          <w:sz w:val="24"/>
          <w:szCs w:val="24"/>
        </w:rPr>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подача предупредительных сигналов рукой при поворотах, развороте и остановке.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Движение в ограниченных проездах, сложное маневрирование: проезд "габаритного коридора"; движение по "габаритному полукругу"; движение по траектории "змейка"; проезд по "колейной доске"; движение по "габаритной восьмерке"; движение по наклонному участку, остановка на подъеме, начало движения на подъеме, остановка на спуске, начало движения на спуске.</w:t>
      </w:r>
      <w:proofErr w:type="gramEnd"/>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IV. Планируемые результаты освоения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образовательной </w:t>
      </w:r>
      <w:proofErr w:type="gramStart"/>
      <w:r>
        <w:rPr>
          <w:rFonts w:ascii="Times New Roman" w:hAnsi="Times New Roman" w:cs="Times New Roman"/>
          <w:sz w:val="24"/>
          <w:szCs w:val="24"/>
        </w:rPr>
        <w:t>программы</w:t>
      </w:r>
      <w:proofErr w:type="gramEnd"/>
      <w:r>
        <w:rPr>
          <w:rFonts w:ascii="Times New Roman" w:hAnsi="Times New Roman" w:cs="Times New Roman"/>
          <w:sz w:val="24"/>
          <w:szCs w:val="24"/>
        </w:rPr>
        <w:t xml:space="preserve"> обучающиеся должны знать: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hyperlink r:id="rId15"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безопасного управления транспортными средствами;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цели и задачи управления системами "водитель - автомобиль - дорога" и "водитель - автомобиль";</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особенности наблюдения за дорожной обстановкой;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способы контроля безопасной дистанции и бокового интервала;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вызова аварийных и спасательных служб;</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основы обеспечения безопасности наиболее уязвимых участников дорожного движения: пешеходов, велосипедистов;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обеспечения безопасности детей-пассажиров;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проблемы, связанные с нарушением правил дорожного движения водителями транспортных средств и их последствиями;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правовые аспекты (права, обязанности и ответственность) оказания первой помощи;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оказания первой помощи;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образовательной </w:t>
      </w:r>
      <w:proofErr w:type="gramStart"/>
      <w:r>
        <w:rPr>
          <w:rFonts w:ascii="Times New Roman" w:hAnsi="Times New Roman" w:cs="Times New Roman"/>
          <w:sz w:val="24"/>
          <w:szCs w:val="24"/>
        </w:rPr>
        <w:t>программы</w:t>
      </w:r>
      <w:proofErr w:type="gramEnd"/>
      <w:r>
        <w:rPr>
          <w:rFonts w:ascii="Times New Roman" w:hAnsi="Times New Roman" w:cs="Times New Roman"/>
          <w:sz w:val="24"/>
          <w:szCs w:val="24"/>
        </w:rPr>
        <w:t xml:space="preserve"> обучающиеся должны уметь: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безопасно и эффективно управлять транспортным средством в различных условиях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соблюдать </w:t>
      </w:r>
      <w:hyperlink r:id="rId16"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дорожного движения при управлении транспортным средством;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управлять своим эмоциональным состоянием;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ежедневное техническое обслуживание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устранять мелкие неисправности в процессе эксплуатации транспортного средства;</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выбирать безопасные скорость, дистанцию и интервал в различных условиях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использовать зеркала заднего вида при маневрировании;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прогнозировать и предотвращать возникновение опасных дорожно-транспортных ситуаций в процессе управления транспортным средством;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совершенствовать свои навыки управления транспортным средством.</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 Условия реализации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определения соответствия применяемых форм, средств, методов обучения и </w:t>
      </w:r>
      <w:r>
        <w:rPr>
          <w:rFonts w:ascii="Times New Roman" w:hAnsi="Times New Roman" w:cs="Times New Roman"/>
          <w:sz w:val="24"/>
          <w:szCs w:val="24"/>
        </w:rPr>
        <w:lastRenderedPageBreak/>
        <w:t>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Необходимость применения АПК определяется организацией, осуществляющей образовательную деятельность, самостоятельно.</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Обучение проводится с использованием учебно-материальной базы, соответствующей требованиям, установленным </w:t>
      </w:r>
      <w:hyperlink r:id="rId17"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16 и </w:t>
      </w:r>
      <w:hyperlink r:id="rId18"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20 Федерального закона N 196-ФЗ (Собрание законодательства Российской Федерации, 1995, N 50, ст. 4873, 2021, N 27, ст. 5159) и </w:t>
      </w:r>
      <w:hyperlink r:id="rId19" w:history="1">
        <w:r>
          <w:rPr>
            <w:rFonts w:ascii="Times New Roman" w:hAnsi="Times New Roman" w:cs="Times New Roman"/>
            <w:sz w:val="24"/>
            <w:szCs w:val="24"/>
            <w:u w:val="single"/>
          </w:rPr>
          <w:t>подпунктом "б"</w:t>
        </w:r>
      </w:hyperlink>
      <w:r>
        <w:rPr>
          <w:rFonts w:ascii="Times New Roman" w:hAnsi="Times New Roman" w:cs="Times New Roman"/>
          <w:sz w:val="24"/>
          <w:szCs w:val="24"/>
        </w:rPr>
        <w:t xml:space="preserve"> пункта 11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w:t>
      </w:r>
      <w:proofErr w:type="gramEnd"/>
      <w:r>
        <w:rPr>
          <w:rFonts w:ascii="Times New Roman" w:hAnsi="Times New Roman" w:cs="Times New Roman"/>
          <w:sz w:val="24"/>
          <w:szCs w:val="24"/>
        </w:rPr>
        <w:t xml:space="preserve">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Теоретическое обучение проводится в оборудованных учебных кабинетах.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Наполняемость учебной группы не должна превышать 30 человек.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 - число необходимых помещений;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расчетное учебное время полного курса теоретического обучения на одну группу в часах;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 - общее число групп;</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0,75 - постоянный коэффициент (загрузка учебного кабинета принимается </w:t>
      </w:r>
      <w:proofErr w:type="gramStart"/>
      <w:r>
        <w:rPr>
          <w:rFonts w:ascii="Times New Roman" w:hAnsi="Times New Roman" w:cs="Times New Roman"/>
          <w:sz w:val="24"/>
          <w:szCs w:val="24"/>
        </w:rPr>
        <w:t>равной</w:t>
      </w:r>
      <w:proofErr w:type="gramEnd"/>
      <w:r>
        <w:rPr>
          <w:rFonts w:ascii="Times New Roman" w:hAnsi="Times New Roman" w:cs="Times New Roman"/>
          <w:sz w:val="24"/>
          <w:szCs w:val="24"/>
        </w:rPr>
        <w:t xml:space="preserve"> 75%);</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фонд времени использования помещения в часах.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Обучение вождению состоит из первоначального обучения вождению на закрытых площадках или автодромах.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w:t>
      </w:r>
      <w:r>
        <w:rPr>
          <w:rFonts w:ascii="Times New Roman" w:hAnsi="Times New Roman" w:cs="Times New Roman"/>
          <w:sz w:val="24"/>
          <w:szCs w:val="24"/>
        </w:rPr>
        <w:lastRenderedPageBreak/>
        <w:t xml:space="preserve">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23" w:history="1">
        <w:r>
          <w:rPr>
            <w:rFonts w:ascii="Times New Roman" w:hAnsi="Times New Roman" w:cs="Times New Roman"/>
            <w:sz w:val="24"/>
            <w:szCs w:val="24"/>
            <w:u w:val="single"/>
          </w:rPr>
          <w:t>пункте 3.1</w:t>
        </w:r>
      </w:hyperlink>
      <w:r>
        <w:rPr>
          <w:rFonts w:ascii="Times New Roman" w:hAnsi="Times New Roman" w:cs="Times New Roman"/>
          <w:sz w:val="24"/>
          <w:szCs w:val="24"/>
        </w:rPr>
        <w:t xml:space="preserve">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w:t>
      </w:r>
      <w:proofErr w:type="gramEnd"/>
      <w:r>
        <w:rPr>
          <w:rFonts w:ascii="Times New Roman" w:hAnsi="Times New Roman" w:cs="Times New Roman"/>
          <w:sz w:val="24"/>
          <w:szCs w:val="24"/>
        </w:rPr>
        <w:t xml:space="preserve">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Федерации </w:t>
      </w:r>
      <w:hyperlink r:id="rId24" w:history="1">
        <w:r>
          <w:rPr>
            <w:rFonts w:ascii="Times New Roman" w:hAnsi="Times New Roman" w:cs="Times New Roman"/>
            <w:sz w:val="24"/>
            <w:szCs w:val="24"/>
            <w:u w:val="single"/>
          </w:rPr>
          <w:t>от 26 августа 2010 г. N 761н</w:t>
        </w:r>
      </w:hyperlink>
      <w:r>
        <w:rPr>
          <w:rFonts w:ascii="Times New Roman" w:hAnsi="Times New Roman" w:cs="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w:t>
      </w:r>
      <w:proofErr w:type="gramEnd"/>
      <w:r>
        <w:rPr>
          <w:rFonts w:ascii="Times New Roman" w:hAnsi="Times New Roman" w:cs="Times New Roman"/>
          <w:sz w:val="24"/>
          <w:szCs w:val="24"/>
        </w:rPr>
        <w:t xml:space="preserve"> Российской Федерации от 31 мая 2011 г. N 448н (зарегистрирован Министерством юстиции Российской Федерации 1 июля 2011 г., регистрационный N 21240).</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Мастер производственного обучения должен удовлетворять требованиям профессионального </w:t>
      </w:r>
      <w:hyperlink r:id="rId25" w:history="1">
        <w:r>
          <w:rPr>
            <w:rFonts w:ascii="Times New Roman" w:hAnsi="Times New Roman" w:cs="Times New Roman"/>
            <w:sz w:val="24"/>
            <w:szCs w:val="24"/>
            <w:u w:val="single"/>
          </w:rPr>
          <w:t>стандарта</w:t>
        </w:r>
      </w:hyperlink>
      <w:r>
        <w:rPr>
          <w:rFonts w:ascii="Times New Roman" w:hAnsi="Times New Roman" w:cs="Times New Roman"/>
          <w:sz w:val="24"/>
          <w:szCs w:val="24"/>
        </w:rPr>
        <w:t xml:space="preserve">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5.3. Информационно-методические условия реализации образовательной программы включают:</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учебный план;</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рабочие программы учебных предметов;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материалы и разработки;</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расписание занятий.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5.4. Материально-технические условия реализации образовательной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 xml:space="preserve">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w:t>
      </w:r>
      <w:r>
        <w:rPr>
          <w:rFonts w:ascii="Times New Roman" w:hAnsi="Times New Roman" w:cs="Times New Roman"/>
          <w:sz w:val="24"/>
          <w:szCs w:val="24"/>
        </w:rPr>
        <w:lastRenderedPageBreak/>
        <w:t>тестирования.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АПК должен обеспечивать защиту персональных данных.</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Учебные транспортные средства подкатегории "A1"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26"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Основных положений по допуску транспортных средств к эксплуатации и</w:t>
      </w:r>
      <w:proofErr w:type="gramEnd"/>
      <w:r>
        <w:rPr>
          <w:rFonts w:ascii="Times New Roman" w:hAnsi="Times New Roman" w:cs="Times New Roman"/>
          <w:sz w:val="24"/>
          <w:szCs w:val="24"/>
        </w:rPr>
        <w:t xml:space="preserve">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1630" cy="341630"/>
            <wp:effectExtent l="1905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341630" cy="34163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где: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73685" cy="2222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srcRect/>
                    <a:stretch>
                      <a:fillRect/>
                    </a:stretch>
                  </pic:blipFill>
                  <pic:spPr bwMode="auto">
                    <a:xfrm>
                      <a:off x="0" y="0"/>
                      <a:ext cx="273685" cy="2222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 количество автотранспортных средств;</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количество часов вождения в соответствии с учебным планом;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K - количество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год;</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24,5 - среднее количество рабочих дней в месяц;</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 количество рабочих месяцев в году;</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 количество резервных учебных транспортных средств.</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Перечень оборудования учебного кабинета</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10</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6390"/>
        <w:gridCol w:w="1260"/>
        <w:gridCol w:w="1350"/>
      </w:tblGrid>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учебного оборудования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 и технические средства обучения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 (в качестве тренажера может использоваться учебное транспортное средство)</w:t>
            </w:r>
          </w:p>
        </w:tc>
        <w:tc>
          <w:tcPr>
            <w:tcW w:w="126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(монитор, электронная доска)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Магнитная доска со схемой населенного пункта (может быть заменена соответствующим электронным учебным пособием)</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roofErr w:type="gramEnd"/>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Дорожные знаки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Дорожная разметка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Опознавательные и регистрационные знаки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регулирования дорожного движения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Сигналы регулировщика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Применение аварийной сигнализации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Начало движения, маневрирование. Способы разворота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Расположение транспортных средств на проезжей части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Скорость движения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Обгон, опережение, встречный разъезд</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Остановка и стоянка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перекрестков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Проезд пешеходных переходов и мест остановок маршрутных транспортных средств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через железнодорожные пути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по автомагистралям</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жилых зонах</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Перевозка пассажиров на заднем сидении мотоцикла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Неисправности и условия, при которых запрещается эксплуатация транспортных средств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Ответственность за правонарушения в области дорожного движения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Страхование автогражданской ответственности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Последовательность действий при ДТП</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основы деятельности водителя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Психофизиологические особенности деятельности водителя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Воздействие на поведение водителя психотропных, наркотических веществ, алкоголя и медицинских препаратов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Конфликтные ситуации в дорожном движении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Факторы риска при вождении автомобиля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дорожные условия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и причины ДТП</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опасные ситуации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Сложные метеоусловия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Движение в темное время суток</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Посадка водителя за рулем. Экипировка водителя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Способы торможения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Тормозной и остановочный путь</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Действия водителя в критических ситуациях</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Силы, действующие на транспортное средство</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мотоциклом в нештатных ситуациях</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Профессиональная надежность водителя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Влияние дорожных условий на безопасность движения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Безопасное прохождение поворотов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пассажиров транспортных средств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Безопасность пешеходов и велосипедистов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Типичные ошибки пешеходов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Типовые примеры допускаемых нарушений правил дорожного движения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Классификация мотоциклов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мотоцикла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двухтактного двигателя внутреннего сгорания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четырехтактного двигателя внутреннего сгорания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Горюче-смазочные материалы и специальные жидкости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Схемы трансмиссии мотоциклов с различными типами приводов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первичной (моторной) передачи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сцепления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механического привода выключения сцепления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механической коробки передач</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автоматизированной и бесступенчатой коробки передач</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Устройство и принцип работы пускового механизма с механическим приводом (кик-стартера)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Вторичная (задняя) цепная и ременная передачи</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рамы мотоцикла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Передняя и задняя подвески мотоцикла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Виды мотоциклетных колес. Конструкции и маркировка мотоциклетных шин</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тормозных систем</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маркировка аккумуляторных батарей</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генератора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стартера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Общее устройство и принцип работы бесконтактной и микропроцессорной систем зажигания</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осмотр и ежедневное техническое обслуживание мотоцикла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Информационные материалы</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стенд</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Закон Российской Федерации </w:t>
            </w:r>
            <w:hyperlink r:id="rId29" w:history="1">
              <w:r>
                <w:rPr>
                  <w:rFonts w:ascii="Times New Roman" w:hAnsi="Times New Roman" w:cs="Times New Roman"/>
                  <w:sz w:val="24"/>
                  <w:szCs w:val="24"/>
                  <w:u w:val="single"/>
                </w:rPr>
                <w:t>от 7 февраля 1992 г. N 2300-1</w:t>
              </w:r>
            </w:hyperlink>
            <w:r>
              <w:rPr>
                <w:rFonts w:ascii="Times New Roman" w:hAnsi="Times New Roman" w:cs="Times New Roman"/>
                <w:sz w:val="24"/>
                <w:szCs w:val="24"/>
              </w:rPr>
              <w:t xml:space="preserve"> "О защите прав потребителей" (Собрание законодательства Российской Федерации, 1996, N 3, ст. 140; 2021, N 24, ст. 4188)</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Копия лицензии с соответствующим приложением</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Примерная программа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программа</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Учебный план</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Календарный учебный график (на каждую учебную группу)</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Расписание занятий (на каждую учебную группу)</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График учебного вождения (на каждую учебную группу)</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Книга жалоб и предложений</w:t>
            </w:r>
          </w:p>
        </w:tc>
        <w:tc>
          <w:tcPr>
            <w:tcW w:w="126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nil"/>
              <w:left w:val="single" w:sz="6" w:space="0" w:color="auto"/>
              <w:bottom w:val="nil"/>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Адрес официального сайта в информационно-телекоммуникационной сети "Интернет"</w:t>
            </w:r>
          </w:p>
        </w:tc>
        <w:tc>
          <w:tcPr>
            <w:tcW w:w="126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nil"/>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24"/>
          <w:szCs w:val="24"/>
        </w:rPr>
      </w:pPr>
      <w:r>
        <w:rPr>
          <w:rFonts w:ascii="Times New Roman" w:hAnsi="Times New Roman" w:cs="Times New Roman"/>
          <w:sz w:val="24"/>
          <w:szCs w:val="24"/>
        </w:rPr>
        <w:t>Перечень оборудования по предмету "Первая помощь при дорожно-транспортном происшествии"</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Таблица 11</w:t>
      </w:r>
    </w:p>
    <w:p w:rsidR="00383D3D" w:rsidRDefault="00383D3D" w:rsidP="00383D3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6390"/>
        <w:gridCol w:w="1260"/>
        <w:gridCol w:w="1350"/>
      </w:tblGrid>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 учебных материалов</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w:t>
            </w:r>
          </w:p>
        </w:tc>
      </w:tr>
      <w:tr w:rsidR="00383D3D" w:rsidTr="0063007A">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(голова, торс) без контроллера для отработки приемов сердечно-легочной реанимации</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Тренажер-манекен взрослого пострадавшего для отработки приемов удаления инородного тела из верхних дыхательных путей</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Мотоциклетный шлем</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штука</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Расходные материалы</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Аптечка для оказания первой помощи пострадавшим в дорожно-транспортных происшествиях (автомобильная)</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Табельные средства для оказания первой помощи:</w:t>
            </w:r>
          </w:p>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Устройства для проведения искусственного дыхания: лицевые маски с клапаном различных моделей. Средства для </w:t>
            </w:r>
            <w:r>
              <w:rPr>
                <w:rFonts w:ascii="Times New Roman" w:hAnsi="Times New Roman" w:cs="Times New Roman"/>
                <w:sz w:val="24"/>
                <w:szCs w:val="24"/>
              </w:rPr>
              <w:lastRenderedPageBreak/>
              <w:t>временной остановки кровотечения - жгуты.</w:t>
            </w:r>
          </w:p>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Средства иммобилизации для верхних, нижних конечностей, шейного отдела позвоночника (шины).</w:t>
            </w:r>
          </w:p>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Перевязочные средства (бинты, салфетки, лейкопластырь)</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Учебно-наглядные пособия</w:t>
            </w:r>
          </w:p>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(допустимо представлять в виде плаката, стенда, макета, планшета, модели, схемы, кинофильма, видеофильма, мультимедийных слайдов)</w:t>
            </w:r>
            <w:proofErr w:type="gramEnd"/>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пособия по первой помощи пострадавшим в дорожно-транспортных происшествиях для водителей</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Учебные фильмы по первой помощи пострадавшим в дорожно-транспортных происшествиях</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9000" w:type="dxa"/>
            <w:gridSpan w:val="3"/>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Технические средства обучения</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Компьютер с соответствующим программным обеспечением</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Мультимедийный проектор</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rsidR="00383D3D" w:rsidTr="0063007A">
        <w:tblPrEx>
          <w:tblCellMar>
            <w:top w:w="0" w:type="dxa"/>
            <w:left w:w="0" w:type="dxa"/>
            <w:bottom w:w="0" w:type="dxa"/>
            <w:right w:w="0" w:type="dxa"/>
          </w:tblCellMar>
        </w:tblPrEx>
        <w:trPr>
          <w:jc w:val="center"/>
        </w:trPr>
        <w:tc>
          <w:tcPr>
            <w:tcW w:w="639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Экран (электронная доска)</w:t>
            </w:r>
          </w:p>
        </w:tc>
        <w:tc>
          <w:tcPr>
            <w:tcW w:w="126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комплект</w:t>
            </w:r>
          </w:p>
        </w:tc>
        <w:tc>
          <w:tcPr>
            <w:tcW w:w="1350" w:type="dxa"/>
            <w:tcBorders>
              <w:top w:val="single" w:sz="6" w:space="0" w:color="auto"/>
              <w:left w:val="single" w:sz="6" w:space="0" w:color="auto"/>
              <w:bottom w:val="single" w:sz="6" w:space="0" w:color="auto"/>
              <w:right w:val="single" w:sz="6" w:space="0" w:color="auto"/>
            </w:tcBorders>
          </w:tcPr>
          <w:p w:rsidR="00383D3D" w:rsidRDefault="00383D3D" w:rsidP="0063007A">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bl>
    <w:p w:rsidR="00383D3D" w:rsidRDefault="00383D3D" w:rsidP="00383D3D">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30"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Требований к техническим средствам контроля знаний и навыков управления транспортными средствами кандидатов в водители, прилагаемых к Правилам</w:t>
      </w:r>
      <w:proofErr w:type="gramEnd"/>
      <w:r>
        <w:rPr>
          <w:rFonts w:ascii="Times New Roman" w:hAnsi="Times New Roman" w:cs="Times New Roman"/>
          <w:sz w:val="24"/>
          <w:szCs w:val="24"/>
        </w:rPr>
        <w:t xml:space="preserve">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31" w:history="1">
        <w:r>
          <w:rPr>
            <w:rFonts w:ascii="Times New Roman" w:hAnsi="Times New Roman" w:cs="Times New Roman"/>
            <w:sz w:val="24"/>
            <w:szCs w:val="24"/>
            <w:u w:val="single"/>
          </w:rPr>
          <w:t>пункту 3</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Зоны испытательных упражнений автодрома, автоматизированного автодрома и закрытой площадки должны иметь однородное асфальт</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или цементобетонное покрытие согласно </w:t>
      </w:r>
      <w:hyperlink r:id="rId32"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33"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участках, предназначенных для движения транспортных средств, должен быть </w:t>
      </w:r>
      <w:r>
        <w:rPr>
          <w:rFonts w:ascii="Times New Roman" w:hAnsi="Times New Roman" w:cs="Times New Roman"/>
          <w:sz w:val="24"/>
          <w:szCs w:val="24"/>
        </w:rPr>
        <w:lastRenderedPageBreak/>
        <w:t xml:space="preserve">предусмотрен водоотвод. Проезжая часть должна быть горизонтальной с максимальным продольным уклоном не более 100 промилле согласно </w:t>
      </w:r>
      <w:hyperlink r:id="rId34"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35"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Коэффициент сцепления колеса автомобиля с покрытием должен быть не менее 0,3 </w:t>
      </w:r>
      <w:proofErr w:type="gramStart"/>
      <w:r>
        <w:rPr>
          <w:rFonts w:ascii="Times New Roman" w:hAnsi="Times New Roman" w:cs="Times New Roman"/>
          <w:sz w:val="24"/>
          <w:szCs w:val="24"/>
        </w:rPr>
        <w:t>при его измерении измерительным колесом стандартным с покрышкой с протектором без рисунка в соответствии</w:t>
      </w:r>
      <w:proofErr w:type="gramEnd"/>
      <w:r>
        <w:rPr>
          <w:rFonts w:ascii="Times New Roman" w:hAnsi="Times New Roman" w:cs="Times New Roman"/>
          <w:sz w:val="24"/>
          <w:szCs w:val="24"/>
        </w:rPr>
        <w:t xml:space="preserve">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50597-2017, утвержденного приказом Федерального агентства по техническому регулированию и метрологии от 26 сентября 2017 г. N 1245-ст (М., Стандартинформ, 2017).</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 снижении естественной освещенности до 20 люксов должны использоваться наружные осветительные установки согласно </w:t>
      </w:r>
      <w:hyperlink r:id="rId36" w:history="1">
        <w:r>
          <w:rPr>
            <w:rFonts w:ascii="Times New Roman" w:hAnsi="Times New Roman" w:cs="Times New Roman"/>
            <w:sz w:val="24"/>
            <w:szCs w:val="24"/>
            <w:u w:val="single"/>
          </w:rPr>
          <w:t>пункту 5</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37" w:history="1">
        <w:r>
          <w:rPr>
            <w:rFonts w:ascii="Times New Roman" w:hAnsi="Times New Roman" w:cs="Times New Roman"/>
            <w:sz w:val="24"/>
            <w:szCs w:val="24"/>
            <w:u w:val="single"/>
          </w:rPr>
          <w:t>пункту 7</w:t>
        </w:r>
      </w:hyperlink>
      <w:r>
        <w:rPr>
          <w:rFonts w:ascii="Times New Roman" w:hAnsi="Times New Roman" w:cs="Times New Roman"/>
          <w:sz w:val="24"/>
          <w:szCs w:val="24"/>
        </w:rPr>
        <w:t xml:space="preserve"> Требований к техническим средствам контроля.</w:t>
      </w:r>
      <w:proofErr w:type="gramEnd"/>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w:t>
      </w:r>
      <w:proofErr w:type="gramEnd"/>
      <w:r>
        <w:rPr>
          <w:rFonts w:ascii="Times New Roman" w:hAnsi="Times New Roman" w:cs="Times New Roman"/>
          <w:sz w:val="24"/>
          <w:szCs w:val="24"/>
        </w:rPr>
        <w:t xml:space="preserve"> освещения согласно </w:t>
      </w:r>
      <w:hyperlink r:id="rId38" w:history="1">
        <w:r>
          <w:rPr>
            <w:rFonts w:ascii="Times New Roman" w:hAnsi="Times New Roman" w:cs="Times New Roman"/>
            <w:sz w:val="24"/>
            <w:szCs w:val="24"/>
            <w:u w:val="single"/>
          </w:rPr>
          <w:t>пункту 8</w:t>
        </w:r>
      </w:hyperlink>
      <w:r>
        <w:rPr>
          <w:rFonts w:ascii="Times New Roman" w:hAnsi="Times New Roman" w:cs="Times New Roman"/>
          <w:sz w:val="24"/>
          <w:szCs w:val="24"/>
        </w:rPr>
        <w:t xml:space="preserve"> Требований к техническим средствам контроля.</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VI. Система оценки результатов освоения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 проведению квалификационного экзамена привлекаются представители работодателей, их объединений согласно </w:t>
      </w:r>
      <w:hyperlink r:id="rId39" w:history="1">
        <w:r>
          <w:rPr>
            <w:rFonts w:ascii="Times New Roman" w:hAnsi="Times New Roman" w:cs="Times New Roman"/>
            <w:sz w:val="24"/>
            <w:szCs w:val="24"/>
            <w:u w:val="single"/>
          </w:rPr>
          <w:t>статье 74</w:t>
        </w:r>
      </w:hyperlink>
      <w:r>
        <w:rPr>
          <w:rFonts w:ascii="Times New Roman" w:hAnsi="Times New Roman" w:cs="Times New Roman"/>
          <w:sz w:val="24"/>
          <w:szCs w:val="24"/>
        </w:rPr>
        <w:t xml:space="preserve"> Федерального закона об образовании (Собрание законодательства Российской Федерации, 2012, N 53, ст. 7598; 2020, N 22, ст. 3379).</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Проверка теоретических знаний при проведении квалификационного экзамена проводится по предметам:</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законодательства Российской Федерации в сфере дорожного движения";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"Устройство и техническое обслуживание транспортных средств подкатегории "A1" как объектов управления";</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"Основы управления транспортными средствами подкатегории "A1".</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Практическая квалификационная работа заключается в выполнении заданий по управлению транспортным средством подкатегории "A1" на закрытой площадке или автодроме.</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40" w:history="1">
        <w:r>
          <w:rPr>
            <w:rFonts w:ascii="Times New Roman" w:hAnsi="Times New Roman" w:cs="Times New Roman"/>
            <w:sz w:val="24"/>
            <w:szCs w:val="24"/>
            <w:u w:val="single"/>
          </w:rPr>
          <w:t>пункту 2</w:t>
        </w:r>
      </w:hyperlink>
      <w:r>
        <w:rPr>
          <w:rFonts w:ascii="Times New Roman" w:hAnsi="Times New Roman" w:cs="Times New Roman"/>
          <w:sz w:val="24"/>
          <w:szCs w:val="24"/>
        </w:rPr>
        <w:t xml:space="preserve"> части 10 статьи 60 Федерального закона об образовании (Собрание законодательства Российской Федерации, 2012, N 53, ст. 7598, 2020, N 22, ст. 3379).</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Индивидуальный учет результатов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383D3D" w:rsidRDefault="00383D3D" w:rsidP="00383D3D">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VII. Учебно-методические материалы, обеспечивающие реализацию Примерной программы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Учебно-методические материалы представлены:</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Примерной программой;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образовательной программой;</w:t>
      </w:r>
    </w:p>
    <w:p w:rsidR="00383D3D" w:rsidRDefault="00383D3D" w:rsidP="00383D3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материалами для проведения промежуточной и итоговой аттестации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утвержденными руководителем организации, осуществляющей образовательную деятельность.</w:t>
      </w:r>
    </w:p>
    <w:p w:rsidR="00383D3D" w:rsidRDefault="00383D3D" w:rsidP="00383D3D">
      <w:pPr>
        <w:widowControl w:val="0"/>
        <w:autoSpaceDE w:val="0"/>
        <w:autoSpaceDN w:val="0"/>
        <w:adjustRightInd w:val="0"/>
        <w:spacing w:after="0" w:line="240" w:lineRule="auto"/>
        <w:rPr>
          <w:rFonts w:ascii="Times New Roman" w:hAnsi="Times New Roman" w:cs="Times New Roman"/>
          <w:sz w:val="24"/>
          <w:szCs w:val="24"/>
        </w:rPr>
      </w:pPr>
    </w:p>
    <w:p w:rsidR="008C4995" w:rsidRDefault="008C4995"/>
    <w:sectPr w:rsidR="008C49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grammar="clean"/>
  <w:defaultTabStop w:val="708"/>
  <w:characterSpacingControl w:val="doNotCompress"/>
  <w:compat>
    <w:useFELayout/>
  </w:compat>
  <w:rsids>
    <w:rsidRoot w:val="00383D3D"/>
    <w:rsid w:val="00383D3D"/>
    <w:rsid w:val="008C49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6094#l210" TargetMode="External"/><Relationship Id="rId13" Type="http://schemas.openxmlformats.org/officeDocument/2006/relationships/hyperlink" Target="https://normativ.kontur.ru/document?moduleid=1&amp;documentid=352263#l12" TargetMode="External"/><Relationship Id="rId18" Type="http://schemas.openxmlformats.org/officeDocument/2006/relationships/hyperlink" Target="https://normativ.kontur.ru/document?moduleid=1&amp;documentid=408738#l903" TargetMode="External"/><Relationship Id="rId26" Type="http://schemas.openxmlformats.org/officeDocument/2006/relationships/hyperlink" Target="https://normativ.kontur.ru/document?moduleid=1&amp;documentid=352263#l3034" TargetMode="External"/><Relationship Id="rId39" Type="http://schemas.openxmlformats.org/officeDocument/2006/relationships/hyperlink" Target="https://normativ.kontur.ru/document?moduleid=1&amp;documentid=416094#l932" TargetMode="External"/><Relationship Id="rId3" Type="http://schemas.openxmlformats.org/officeDocument/2006/relationships/webSettings" Target="webSettings.xml"/><Relationship Id="rId21" Type="http://schemas.openxmlformats.org/officeDocument/2006/relationships/image" Target="media/image2.jpeg"/><Relationship Id="rId34" Type="http://schemas.openxmlformats.org/officeDocument/2006/relationships/hyperlink" Target="https://normativ.kontur.ru/document?moduleid=1&amp;documentid=387058#l314" TargetMode="External"/><Relationship Id="rId42" Type="http://schemas.openxmlformats.org/officeDocument/2006/relationships/theme" Target="theme/theme1.xml"/><Relationship Id="rId7" Type="http://schemas.openxmlformats.org/officeDocument/2006/relationships/hyperlink" Target="https://normativ.kontur.ru/document?moduleid=1&amp;documentid=370328#l7" TargetMode="External"/><Relationship Id="rId12" Type="http://schemas.openxmlformats.org/officeDocument/2006/relationships/hyperlink" Target="https://normativ.kontur.ru/document?moduleid=1&amp;documentid=352263#l12" TargetMode="External"/><Relationship Id="rId17" Type="http://schemas.openxmlformats.org/officeDocument/2006/relationships/hyperlink" Target="https://normativ.kontur.ru/document?moduleid=1&amp;documentid=408738#l84" TargetMode="External"/><Relationship Id="rId25" Type="http://schemas.openxmlformats.org/officeDocument/2006/relationships/hyperlink" Target="https://normativ.kontur.ru/document?moduleid=1&amp;documentid=322539#l14" TargetMode="External"/><Relationship Id="rId33" Type="http://schemas.openxmlformats.org/officeDocument/2006/relationships/hyperlink" Target="https://normativ.kontur.ru/document?moduleid=1&amp;documentid=387058#l314" TargetMode="External"/><Relationship Id="rId38" Type="http://schemas.openxmlformats.org/officeDocument/2006/relationships/hyperlink" Target="https://normativ.kontur.ru/document?moduleid=1&amp;documentid=387058#l23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52263#l12" TargetMode="External"/><Relationship Id="rId20" Type="http://schemas.openxmlformats.org/officeDocument/2006/relationships/image" Target="media/image1.jpeg"/><Relationship Id="rId29" Type="http://schemas.openxmlformats.org/officeDocument/2006/relationships/hyperlink" Target="https://normativ.kontur.ru/document?moduleid=1&amp;documentid=395796#l3"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330326#l7" TargetMode="External"/><Relationship Id="rId11" Type="http://schemas.openxmlformats.org/officeDocument/2006/relationships/hyperlink" Target="https://normativ.kontur.ru/document?moduleid=1&amp;documentid=352263#l12" TargetMode="External"/><Relationship Id="rId24" Type="http://schemas.openxmlformats.org/officeDocument/2006/relationships/hyperlink" Target="https://normativ.kontur.ru/document?moduleid=1&amp;documentid=184188#l0" TargetMode="External"/><Relationship Id="rId32" Type="http://schemas.openxmlformats.org/officeDocument/2006/relationships/hyperlink" Target="https://normativ.kontur.ru/document?moduleid=1&amp;documentid=387058#l227" TargetMode="External"/><Relationship Id="rId37" Type="http://schemas.openxmlformats.org/officeDocument/2006/relationships/hyperlink" Target="https://normativ.kontur.ru/document?moduleid=1&amp;documentid=387058#l447" TargetMode="External"/><Relationship Id="rId40" Type="http://schemas.openxmlformats.org/officeDocument/2006/relationships/hyperlink" Target="https://normativ.kontur.ru/document?moduleid=1&amp;documentid=416094#l803" TargetMode="External"/><Relationship Id="rId5" Type="http://schemas.openxmlformats.org/officeDocument/2006/relationships/hyperlink" Target="https://normativ.kontur.ru/document?moduleid=1&amp;documentid=416094#l215" TargetMode="External"/><Relationship Id="rId15" Type="http://schemas.openxmlformats.org/officeDocument/2006/relationships/hyperlink" Target="https://normativ.kontur.ru/document?moduleid=1&amp;documentid=352263#l12" TargetMode="External"/><Relationship Id="rId23" Type="http://schemas.openxmlformats.org/officeDocument/2006/relationships/hyperlink" Target="https://normativ.kontur.ru/document?moduleid=1&amp;documentid=322539#l68" TargetMode="External"/><Relationship Id="rId28" Type="http://schemas.openxmlformats.org/officeDocument/2006/relationships/image" Target="media/image5.jpeg"/><Relationship Id="rId36" Type="http://schemas.openxmlformats.org/officeDocument/2006/relationships/hyperlink" Target="https://normativ.kontur.ru/document?moduleid=1&amp;documentid=387058#l314" TargetMode="External"/><Relationship Id="rId10" Type="http://schemas.openxmlformats.org/officeDocument/2006/relationships/hyperlink" Target="https://normativ.kontur.ru/document?moduleid=1&amp;documentid=408916#l41" TargetMode="External"/><Relationship Id="rId19" Type="http://schemas.openxmlformats.org/officeDocument/2006/relationships/hyperlink" Target="https://normativ.kontur.ru/document?moduleid=1&amp;documentid=385080#l134" TargetMode="External"/><Relationship Id="rId31" Type="http://schemas.openxmlformats.org/officeDocument/2006/relationships/hyperlink" Target="https://normativ.kontur.ru/document?moduleid=1&amp;documentid=387058#l313" TargetMode="External"/><Relationship Id="rId4" Type="http://schemas.openxmlformats.org/officeDocument/2006/relationships/hyperlink" Target="https://normativ.kontur.ru/document?moduleid=1&amp;documentid=408738#l0" TargetMode="External"/><Relationship Id="rId9" Type="http://schemas.openxmlformats.org/officeDocument/2006/relationships/hyperlink" Target="https://normativ.kontur.ru/document?moduleid=1&amp;documentid=416094#l219" TargetMode="External"/><Relationship Id="rId14" Type="http://schemas.openxmlformats.org/officeDocument/2006/relationships/hyperlink" Target="https://normativ.kontur.ru/document?moduleid=1&amp;documentid=352263#l12" TargetMode="External"/><Relationship Id="rId22" Type="http://schemas.openxmlformats.org/officeDocument/2006/relationships/image" Target="media/image3.jpeg"/><Relationship Id="rId27" Type="http://schemas.openxmlformats.org/officeDocument/2006/relationships/image" Target="media/image4.jpeg"/><Relationship Id="rId30" Type="http://schemas.openxmlformats.org/officeDocument/2006/relationships/hyperlink" Target="https://normativ.kontur.ru/document?moduleid=1&amp;documentid=387058#l225" TargetMode="External"/><Relationship Id="rId35" Type="http://schemas.openxmlformats.org/officeDocument/2006/relationships/hyperlink" Target="https://normativ.kontur.ru/document?moduleid=1&amp;documentid=387058#l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13396</Words>
  <Characters>76361</Characters>
  <Application>Microsoft Office Word</Application>
  <DocSecurity>0</DocSecurity>
  <Lines>636</Lines>
  <Paragraphs>179</Paragraphs>
  <ScaleCrop>false</ScaleCrop>
  <Company/>
  <LinksUpToDate>false</LinksUpToDate>
  <CharactersWithSpaces>89578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2022-09-16T09:44:00Z</dcterms:created>
  <dcterms:modified xsi:type="dcterms:W3CDTF">2022-09-16T09:44:00Z</dcterms:modified>
</cp:coreProperties>
</file>